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BDB53" w14:textId="3DD0DED9" w:rsidR="00C672BC" w:rsidRPr="009C319B" w:rsidRDefault="0093619E" w:rsidP="00565340">
      <w:pPr>
        <w:tabs>
          <w:tab w:val="right" w:pos="9900"/>
        </w:tabs>
        <w:spacing w:before="100" w:beforeAutospacing="1" w:after="100" w:afterAutospacing="1" w:line="240" w:lineRule="auto"/>
        <w:ind w:left="14" w:hanging="446"/>
        <w:rPr>
          <w:rFonts w:ascii="Arial Nova" w:hAnsi="Arial Nova" w:cs="Arial"/>
          <w:sz w:val="28"/>
          <w:szCs w:val="28"/>
        </w:rPr>
      </w:pPr>
      <w:r w:rsidRPr="009C319B">
        <w:rPr>
          <w:noProof/>
          <w:sz w:val="28"/>
          <w:szCs w:val="28"/>
        </w:rPr>
        <mc:AlternateContent>
          <mc:Choice Requires="wps">
            <w:drawing>
              <wp:anchor distT="0" distB="0" distL="114300" distR="114300" simplePos="0" relativeHeight="251659264" behindDoc="0" locked="0" layoutInCell="1" allowOverlap="1" wp14:anchorId="7343D7DE" wp14:editId="0CBD598F">
                <wp:simplePos x="0" y="0"/>
                <wp:positionH relativeFrom="column">
                  <wp:posOffset>-457200</wp:posOffset>
                </wp:positionH>
                <wp:positionV relativeFrom="paragraph">
                  <wp:posOffset>17780</wp:posOffset>
                </wp:positionV>
                <wp:extent cx="6800850" cy="0"/>
                <wp:effectExtent l="0" t="19050" r="19050" b="19050"/>
                <wp:wrapNone/>
                <wp:docPr id="7" name="Straight Connector 6"/>
                <wp:cNvGraphicFramePr/>
                <a:graphic xmlns:a="http://schemas.openxmlformats.org/drawingml/2006/main">
                  <a:graphicData uri="http://schemas.microsoft.com/office/word/2010/wordprocessingShape">
                    <wps:wsp>
                      <wps:cNvCnPr/>
                      <wps:spPr>
                        <a:xfrm flipV="1">
                          <a:off x="0" y="0"/>
                          <a:ext cx="6800850" cy="0"/>
                        </a:xfrm>
                        <a:prstGeom prst="line">
                          <a:avLst/>
                        </a:prstGeom>
                        <a:ln w="28575">
                          <a:solidFill>
                            <a:srgbClr val="1106A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BCE04B" id="Straight Connector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4pt" to="49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" strokecolor="#1106a2" strokeweight="2.25pt">
                <v:stroke joinstyle="miter"/>
              </v:line>
            </w:pict>
          </mc:Fallback>
        </mc:AlternateContent>
      </w:r>
      <w:r w:rsidRPr="009C319B">
        <w:rPr>
          <w:sz w:val="28"/>
          <w:szCs w:val="28"/>
        </w:rPr>
        <w:tab/>
        <w:t xml:space="preserve">                                                                                                                                      </w:t>
      </w:r>
      <w:r w:rsidRPr="009C319B">
        <w:rPr>
          <w:sz w:val="28"/>
          <w:szCs w:val="28"/>
        </w:rPr>
        <w:tab/>
      </w:r>
      <w:r w:rsidRPr="009C319B">
        <w:rPr>
          <w:sz w:val="28"/>
          <w:szCs w:val="28"/>
        </w:rPr>
        <w:tab/>
      </w:r>
      <w:r w:rsidRPr="009C319B">
        <w:rPr>
          <w:sz w:val="28"/>
          <w:szCs w:val="28"/>
        </w:rPr>
        <w:tab/>
      </w:r>
      <w:r w:rsidRPr="009C319B">
        <w:rPr>
          <w:rFonts w:ascii="Times New Roman" w:hAnsi="Times New Roman" w:cs="Times New Roman"/>
          <w:sz w:val="28"/>
          <w:szCs w:val="28"/>
        </w:rPr>
        <w:t>Gregory M. Bowser, President</w:t>
      </w:r>
      <w:r w:rsidR="00D80C35" w:rsidRPr="009C319B">
        <w:rPr>
          <w:rFonts w:ascii="Times New Roman" w:hAnsi="Times New Roman" w:cs="Times New Roman"/>
          <w:sz w:val="28"/>
          <w:szCs w:val="28"/>
        </w:rPr>
        <w:t xml:space="preserve"> &amp; CEO</w:t>
      </w:r>
      <w:r w:rsidRPr="009C319B">
        <w:rPr>
          <w:rFonts w:ascii="Times New Roman" w:hAnsi="Times New Roman" w:cs="Times New Roman"/>
          <w:sz w:val="28"/>
          <w:szCs w:val="28"/>
        </w:rPr>
        <w:tab/>
      </w:r>
    </w:p>
    <w:p w14:paraId="3969DF1F" w14:textId="77777777" w:rsidR="00565340" w:rsidRPr="009C319B" w:rsidRDefault="00565340" w:rsidP="00565340">
      <w:pPr>
        <w:spacing w:line="240" w:lineRule="auto"/>
        <w:jc w:val="both"/>
        <w:rPr>
          <w:rFonts w:ascii="Palatino" w:hAnsi="Palatino"/>
          <w:sz w:val="28"/>
          <w:szCs w:val="28"/>
        </w:rPr>
      </w:pPr>
      <w:r w:rsidRPr="009C319B">
        <w:rPr>
          <w:rFonts w:ascii="Palatino" w:hAnsi="Palatino"/>
          <w:sz w:val="28"/>
          <w:szCs w:val="28"/>
        </w:rPr>
        <w:t>Administrator Michael Matherne</w:t>
      </w:r>
    </w:p>
    <w:p w14:paraId="2DA177D7" w14:textId="77777777" w:rsidR="00565340" w:rsidRPr="009C319B" w:rsidRDefault="00565340" w:rsidP="00565340">
      <w:pPr>
        <w:spacing w:line="240" w:lineRule="auto"/>
        <w:jc w:val="both"/>
        <w:rPr>
          <w:rFonts w:ascii="Palatino" w:hAnsi="Palatino"/>
          <w:sz w:val="28"/>
          <w:szCs w:val="28"/>
        </w:rPr>
      </w:pPr>
      <w:r w:rsidRPr="009C319B">
        <w:rPr>
          <w:rFonts w:ascii="Palatino" w:hAnsi="Palatino"/>
          <w:sz w:val="28"/>
          <w:szCs w:val="28"/>
        </w:rPr>
        <w:t>Louisiana Tax Commission</w:t>
      </w:r>
    </w:p>
    <w:p w14:paraId="267F3139" w14:textId="77777777" w:rsidR="00565340" w:rsidRPr="009C319B" w:rsidRDefault="00565340" w:rsidP="00565340">
      <w:pPr>
        <w:spacing w:line="240" w:lineRule="auto"/>
        <w:jc w:val="both"/>
        <w:rPr>
          <w:rFonts w:ascii="Palatino" w:hAnsi="Palatino"/>
          <w:sz w:val="28"/>
          <w:szCs w:val="28"/>
        </w:rPr>
      </w:pPr>
      <w:r w:rsidRPr="009C319B">
        <w:rPr>
          <w:rFonts w:ascii="Palatino" w:hAnsi="Palatino"/>
          <w:sz w:val="28"/>
          <w:szCs w:val="28"/>
        </w:rPr>
        <w:t>1051 North Third Street</w:t>
      </w:r>
    </w:p>
    <w:p w14:paraId="4C5F9556" w14:textId="3A961B88" w:rsidR="00565340" w:rsidRPr="009C319B" w:rsidRDefault="00565340" w:rsidP="00565340">
      <w:pPr>
        <w:spacing w:line="240" w:lineRule="auto"/>
        <w:jc w:val="both"/>
        <w:rPr>
          <w:rFonts w:ascii="Palatino" w:hAnsi="Palatino"/>
          <w:sz w:val="28"/>
          <w:szCs w:val="28"/>
        </w:rPr>
      </w:pPr>
      <w:r w:rsidRPr="009C319B">
        <w:rPr>
          <w:rFonts w:ascii="Palatino" w:hAnsi="Palatino"/>
          <w:sz w:val="28"/>
          <w:szCs w:val="28"/>
        </w:rPr>
        <w:t>Baton Rouge, LA  70802</w:t>
      </w:r>
    </w:p>
    <w:p w14:paraId="09F0E162" w14:textId="3CFBED80" w:rsidR="00565340" w:rsidRPr="009C319B" w:rsidRDefault="000C3DCF" w:rsidP="00565340">
      <w:pPr>
        <w:spacing w:line="240" w:lineRule="auto"/>
        <w:jc w:val="right"/>
        <w:rPr>
          <w:rFonts w:ascii="Palatino" w:hAnsi="Palatino"/>
          <w:sz w:val="28"/>
          <w:szCs w:val="28"/>
        </w:rPr>
      </w:pPr>
      <w:r w:rsidRPr="009C319B">
        <w:rPr>
          <w:rFonts w:ascii="Palatino" w:hAnsi="Palatino"/>
          <w:sz w:val="28"/>
          <w:szCs w:val="28"/>
        </w:rPr>
        <w:t>January</w:t>
      </w:r>
      <w:r w:rsidR="00565340" w:rsidRPr="009C319B">
        <w:rPr>
          <w:rFonts w:ascii="Palatino" w:hAnsi="Palatino"/>
          <w:sz w:val="28"/>
          <w:szCs w:val="28"/>
        </w:rPr>
        <w:t xml:space="preserve"> </w:t>
      </w:r>
      <w:r w:rsidRPr="009C319B">
        <w:rPr>
          <w:rFonts w:ascii="Palatino" w:hAnsi="Palatino"/>
          <w:sz w:val="28"/>
          <w:szCs w:val="28"/>
        </w:rPr>
        <w:t>6</w:t>
      </w:r>
      <w:r w:rsidR="00565340" w:rsidRPr="009C319B">
        <w:rPr>
          <w:rFonts w:ascii="Palatino" w:hAnsi="Palatino"/>
          <w:sz w:val="28"/>
          <w:szCs w:val="28"/>
        </w:rPr>
        <w:t>, 202</w:t>
      </w:r>
      <w:r w:rsidRPr="009C319B">
        <w:rPr>
          <w:rFonts w:ascii="Palatino" w:hAnsi="Palatino"/>
          <w:sz w:val="28"/>
          <w:szCs w:val="28"/>
        </w:rPr>
        <w:t>3</w:t>
      </w:r>
    </w:p>
    <w:p w14:paraId="06AD9F8E" w14:textId="27D31E45" w:rsidR="00565340" w:rsidRPr="009C319B" w:rsidRDefault="00565340" w:rsidP="00565340">
      <w:pPr>
        <w:spacing w:line="240" w:lineRule="auto"/>
        <w:jc w:val="both"/>
        <w:rPr>
          <w:rFonts w:ascii="Palatino" w:hAnsi="Palatino"/>
          <w:sz w:val="28"/>
          <w:szCs w:val="28"/>
        </w:rPr>
      </w:pPr>
      <w:r w:rsidRPr="009C319B">
        <w:rPr>
          <w:rFonts w:ascii="Palatino" w:hAnsi="Palatino"/>
          <w:sz w:val="28"/>
          <w:szCs w:val="28"/>
        </w:rPr>
        <w:t>Administrator Matherne:</w:t>
      </w:r>
    </w:p>
    <w:p w14:paraId="24BC297C" w14:textId="0CF7AE2E" w:rsidR="003B2AC8" w:rsidRPr="009C319B" w:rsidRDefault="000C3DCF" w:rsidP="003B2AC8">
      <w:pPr>
        <w:spacing w:line="240" w:lineRule="auto"/>
        <w:jc w:val="both"/>
        <w:rPr>
          <w:rFonts w:ascii="Palatino" w:eastAsia="Times New Roman" w:hAnsi="Palatino" w:cs="Calibri"/>
          <w:sz w:val="28"/>
          <w:szCs w:val="28"/>
        </w:rPr>
      </w:pPr>
      <w:r w:rsidRPr="009C319B">
        <w:rPr>
          <w:rFonts w:ascii="Palatino" w:hAnsi="Palatino"/>
          <w:sz w:val="28"/>
          <w:szCs w:val="28"/>
        </w:rPr>
        <w:t xml:space="preserve">On behalf of the Louisiana Chemical Association </w:t>
      </w:r>
      <w:r w:rsidR="003E327E" w:rsidRPr="009C319B">
        <w:rPr>
          <w:rFonts w:ascii="Palatino" w:hAnsi="Palatino"/>
          <w:sz w:val="28"/>
          <w:szCs w:val="28"/>
        </w:rPr>
        <w:t xml:space="preserve">("LCA") </w:t>
      </w:r>
      <w:r w:rsidRPr="009C319B">
        <w:rPr>
          <w:rFonts w:ascii="Palatino" w:hAnsi="Palatino"/>
          <w:sz w:val="28"/>
          <w:szCs w:val="28"/>
        </w:rPr>
        <w:t>and the Louisiana Chemical Industry Alliance</w:t>
      </w:r>
      <w:r w:rsidR="003E327E" w:rsidRPr="009C319B">
        <w:rPr>
          <w:rFonts w:ascii="Palatino" w:hAnsi="Palatino"/>
          <w:sz w:val="28"/>
          <w:szCs w:val="28"/>
        </w:rPr>
        <w:t xml:space="preserve"> ("LCIA")</w:t>
      </w:r>
      <w:r w:rsidRPr="009C319B">
        <w:rPr>
          <w:rFonts w:ascii="Palatino" w:hAnsi="Palatino"/>
          <w:sz w:val="28"/>
          <w:szCs w:val="28"/>
        </w:rPr>
        <w:t xml:space="preserve">, we refer </w:t>
      </w:r>
      <w:r w:rsidR="003B2AC8" w:rsidRPr="009C319B">
        <w:rPr>
          <w:rFonts w:ascii="Palatino" w:hAnsi="Palatino"/>
          <w:sz w:val="28"/>
          <w:szCs w:val="28"/>
        </w:rPr>
        <w:t xml:space="preserve">the </w:t>
      </w:r>
      <w:r w:rsidR="003E327E" w:rsidRPr="009C319B">
        <w:rPr>
          <w:rFonts w:ascii="Palatino" w:hAnsi="Palatino"/>
          <w:sz w:val="28"/>
          <w:szCs w:val="28"/>
        </w:rPr>
        <w:t>C</w:t>
      </w:r>
      <w:r w:rsidR="003B2AC8" w:rsidRPr="009C319B">
        <w:rPr>
          <w:rFonts w:ascii="Palatino" w:hAnsi="Palatino"/>
          <w:sz w:val="28"/>
          <w:szCs w:val="28"/>
        </w:rPr>
        <w:t xml:space="preserve">ommission to the statement submitted August 15, </w:t>
      </w:r>
      <w:proofErr w:type="gramStart"/>
      <w:r w:rsidR="003B2AC8" w:rsidRPr="009C319B">
        <w:rPr>
          <w:rFonts w:ascii="Palatino" w:hAnsi="Palatino"/>
          <w:sz w:val="28"/>
          <w:szCs w:val="28"/>
        </w:rPr>
        <w:t>2022</w:t>
      </w:r>
      <w:proofErr w:type="gramEnd"/>
      <w:r w:rsidR="003B2AC8" w:rsidRPr="009C319B">
        <w:rPr>
          <w:rFonts w:ascii="Palatino" w:hAnsi="Palatino"/>
          <w:sz w:val="28"/>
          <w:szCs w:val="28"/>
        </w:rPr>
        <w:t xml:space="preserve"> by our same groups. In that statement, we indicated the</w:t>
      </w:r>
      <w:r w:rsidRPr="009C319B">
        <w:rPr>
          <w:rFonts w:ascii="Palatino" w:eastAsia="Times New Roman" w:hAnsi="Palatino" w:cs="Calibri"/>
          <w:b/>
          <w:bCs/>
          <w:sz w:val="28"/>
          <w:szCs w:val="28"/>
        </w:rPr>
        <w:t xml:space="preserve"> status quo should be maintained until all the issues surrounding brine mining wells and caverns can be adequately studied. </w:t>
      </w:r>
      <w:r w:rsidR="003B2AC8" w:rsidRPr="009C319B">
        <w:rPr>
          <w:rFonts w:ascii="Palatino" w:eastAsia="Times New Roman" w:hAnsi="Palatino" w:cs="Calibri"/>
          <w:sz w:val="28"/>
          <w:szCs w:val="28"/>
        </w:rPr>
        <w:t xml:space="preserve">The </w:t>
      </w:r>
      <w:r w:rsidR="004D5AB8" w:rsidRPr="009C319B">
        <w:rPr>
          <w:rFonts w:ascii="Palatino" w:eastAsia="Times New Roman" w:hAnsi="Palatino" w:cs="Calibri"/>
          <w:sz w:val="28"/>
          <w:szCs w:val="28"/>
        </w:rPr>
        <w:t xml:space="preserve">language used to create the Chapter 10 </w:t>
      </w:r>
      <w:r w:rsidR="003B2AC8" w:rsidRPr="009C319B">
        <w:rPr>
          <w:rFonts w:ascii="Palatino" w:eastAsia="Times New Roman" w:hAnsi="Palatino" w:cs="Calibri"/>
          <w:sz w:val="28"/>
          <w:szCs w:val="28"/>
        </w:rPr>
        <w:t xml:space="preserve">rules and regulations under consideration in the December 2022 Emergency Rules in the </w:t>
      </w:r>
      <w:r w:rsidR="003B2AC8" w:rsidRPr="009C319B">
        <w:rPr>
          <w:rFonts w:ascii="Palatino" w:eastAsia="Times New Roman" w:hAnsi="Palatino" w:cs="Calibri"/>
          <w:i/>
          <w:iCs/>
          <w:sz w:val="28"/>
          <w:szCs w:val="28"/>
        </w:rPr>
        <w:t>Louisiana Register</w:t>
      </w:r>
      <w:r w:rsidR="003B2AC8" w:rsidRPr="009C319B">
        <w:rPr>
          <w:rFonts w:ascii="Palatino" w:eastAsia="Times New Roman" w:hAnsi="Palatino" w:cs="Calibri"/>
          <w:sz w:val="28"/>
          <w:szCs w:val="28"/>
        </w:rPr>
        <w:t xml:space="preserve"> remain</w:t>
      </w:r>
      <w:r w:rsidR="004D5AB8" w:rsidRPr="009C319B">
        <w:rPr>
          <w:rFonts w:ascii="Palatino" w:eastAsia="Times New Roman" w:hAnsi="Palatino" w:cs="Calibri"/>
          <w:sz w:val="28"/>
          <w:szCs w:val="28"/>
        </w:rPr>
        <w:t>s</w:t>
      </w:r>
      <w:r w:rsidR="003B2AC8" w:rsidRPr="009C319B">
        <w:rPr>
          <w:rFonts w:ascii="Palatino" w:eastAsia="Times New Roman" w:hAnsi="Palatino" w:cs="Calibri"/>
          <w:sz w:val="28"/>
          <w:szCs w:val="28"/>
        </w:rPr>
        <w:t xml:space="preserve"> </w:t>
      </w:r>
      <w:r w:rsidR="004D5AB8" w:rsidRPr="009C319B">
        <w:rPr>
          <w:rFonts w:ascii="Palatino" w:eastAsia="Times New Roman" w:hAnsi="Palatino" w:cs="Calibri"/>
          <w:sz w:val="28"/>
          <w:szCs w:val="28"/>
        </w:rPr>
        <w:t xml:space="preserve">essentially </w:t>
      </w:r>
      <w:r w:rsidR="003B2AC8" w:rsidRPr="009C319B">
        <w:rPr>
          <w:rFonts w:ascii="Palatino" w:eastAsia="Times New Roman" w:hAnsi="Palatino" w:cs="Calibri"/>
          <w:sz w:val="28"/>
          <w:szCs w:val="28"/>
        </w:rPr>
        <w:t xml:space="preserve">the same as last year. The approach taken by the </w:t>
      </w:r>
      <w:r w:rsidR="003E327E" w:rsidRPr="009C319B">
        <w:rPr>
          <w:rFonts w:ascii="Palatino" w:eastAsia="Times New Roman" w:hAnsi="Palatino" w:cs="Calibri"/>
          <w:sz w:val="28"/>
          <w:szCs w:val="28"/>
        </w:rPr>
        <w:t>C</w:t>
      </w:r>
      <w:r w:rsidR="003B2AC8" w:rsidRPr="009C319B">
        <w:rPr>
          <w:rFonts w:ascii="Palatino" w:eastAsia="Times New Roman" w:hAnsi="Palatino" w:cs="Calibri"/>
          <w:sz w:val="28"/>
          <w:szCs w:val="28"/>
        </w:rPr>
        <w:t xml:space="preserve">ommission with the institution of these rules </w:t>
      </w:r>
      <w:r w:rsidR="004D5AB8" w:rsidRPr="009C319B">
        <w:rPr>
          <w:rFonts w:ascii="Palatino" w:eastAsia="Times New Roman" w:hAnsi="Palatino" w:cs="Calibri"/>
          <w:sz w:val="28"/>
          <w:szCs w:val="28"/>
        </w:rPr>
        <w:t xml:space="preserve">for Chapter 10 </w:t>
      </w:r>
      <w:r w:rsidR="003B2AC8" w:rsidRPr="009C319B">
        <w:rPr>
          <w:rFonts w:ascii="Palatino" w:eastAsia="Times New Roman" w:hAnsi="Palatino" w:cs="Calibri"/>
          <w:sz w:val="28"/>
          <w:szCs w:val="28"/>
        </w:rPr>
        <w:t xml:space="preserve">and the maintaining of </w:t>
      </w:r>
      <w:r w:rsidR="004D5AB8" w:rsidRPr="009C319B">
        <w:rPr>
          <w:rFonts w:ascii="Palatino" w:eastAsia="Times New Roman" w:hAnsi="Palatino" w:cs="Calibri"/>
          <w:sz w:val="28"/>
          <w:szCs w:val="28"/>
        </w:rPr>
        <w:t xml:space="preserve">language taken directly from the former Chapter 9 </w:t>
      </w:r>
      <w:r w:rsidR="003B2AC8" w:rsidRPr="009C319B">
        <w:rPr>
          <w:rFonts w:ascii="Palatino" w:eastAsia="Times New Roman" w:hAnsi="Palatino" w:cs="Calibri"/>
          <w:sz w:val="28"/>
          <w:szCs w:val="28"/>
        </w:rPr>
        <w:t xml:space="preserve">rules and regulations will allow the Louisiana Tax Commission a year for further study of the issue and the chance to develop future new rules supported by both industry and the Louisiana Assessors Association. </w:t>
      </w:r>
    </w:p>
    <w:p w14:paraId="4DCEC302" w14:textId="3E8992E4" w:rsidR="00565340" w:rsidRPr="009C319B" w:rsidRDefault="000C3DCF" w:rsidP="00565340">
      <w:pPr>
        <w:spacing w:line="240" w:lineRule="auto"/>
        <w:jc w:val="both"/>
        <w:rPr>
          <w:rFonts w:ascii="Palatino" w:hAnsi="Palatino"/>
          <w:sz w:val="28"/>
          <w:szCs w:val="28"/>
        </w:rPr>
      </w:pPr>
      <w:r w:rsidRPr="009C319B">
        <w:rPr>
          <w:rFonts w:ascii="Palatino" w:eastAsia="Times New Roman" w:hAnsi="Palatino" w:cs="Calibri"/>
          <w:b/>
          <w:bCs/>
          <w:sz w:val="28"/>
          <w:szCs w:val="28"/>
        </w:rPr>
        <w:t xml:space="preserve">Hence, LCA respectfully requests the LTC maintain the valuation and assessment methodology </w:t>
      </w:r>
      <w:r w:rsidR="00ED34A0" w:rsidRPr="009C319B">
        <w:rPr>
          <w:rFonts w:ascii="Palatino" w:eastAsia="Times New Roman" w:hAnsi="Palatino" w:cs="Calibri"/>
          <w:b/>
          <w:bCs/>
          <w:sz w:val="28"/>
          <w:szCs w:val="28"/>
        </w:rPr>
        <w:t xml:space="preserve">proposed for Chapter 10 (formerly </w:t>
      </w:r>
      <w:r w:rsidRPr="009C319B">
        <w:rPr>
          <w:rFonts w:ascii="Palatino" w:eastAsia="Times New Roman" w:hAnsi="Palatino" w:cs="Calibri"/>
          <w:b/>
          <w:bCs/>
          <w:sz w:val="28"/>
          <w:szCs w:val="28"/>
        </w:rPr>
        <w:t>in Chapter 9</w:t>
      </w:r>
      <w:r w:rsidR="00ED34A0" w:rsidRPr="009C319B">
        <w:rPr>
          <w:rFonts w:ascii="Palatino" w:eastAsia="Times New Roman" w:hAnsi="Palatino" w:cs="Calibri"/>
          <w:b/>
          <w:bCs/>
          <w:sz w:val="28"/>
          <w:szCs w:val="28"/>
        </w:rPr>
        <w:t>)</w:t>
      </w:r>
      <w:r w:rsidRPr="009C319B">
        <w:rPr>
          <w:rFonts w:ascii="Palatino" w:eastAsia="Times New Roman" w:hAnsi="Palatino" w:cs="Calibri"/>
          <w:b/>
          <w:bCs/>
          <w:sz w:val="28"/>
          <w:szCs w:val="28"/>
        </w:rPr>
        <w:t xml:space="preserve"> rules and regulations regarding brine solution mining wells, pending further study. </w:t>
      </w:r>
    </w:p>
    <w:p w14:paraId="3F57CD6D" w14:textId="266369F4" w:rsidR="00ED34A0" w:rsidRPr="009C319B" w:rsidRDefault="00ED34A0" w:rsidP="00ED34A0">
      <w:pPr>
        <w:jc w:val="both"/>
        <w:rPr>
          <w:rFonts w:ascii="Palatino" w:eastAsia="Times New Roman" w:hAnsi="Palatino" w:cs="Times New Roman"/>
          <w:sz w:val="28"/>
          <w:szCs w:val="28"/>
        </w:rPr>
      </w:pPr>
      <w:r w:rsidRPr="009C319B">
        <w:rPr>
          <w:rFonts w:ascii="Palatino" w:eastAsia="Times New Roman" w:hAnsi="Palatino" w:cs="Times New Roman"/>
          <w:sz w:val="28"/>
          <w:szCs w:val="28"/>
        </w:rPr>
        <w:t xml:space="preserve">The rewrite of Chapter 9 and contemporaneous creation of Chapter 10 for Brine Operation Properties does not in any way render moot the First Circuit opinions in the matters of </w:t>
      </w:r>
      <w:proofErr w:type="spellStart"/>
      <w:r w:rsidRPr="009C319B">
        <w:rPr>
          <w:rFonts w:ascii="Palatino" w:eastAsia="Times New Roman" w:hAnsi="Palatino" w:cs="Times New Roman"/>
          <w:i/>
          <w:iCs/>
          <w:sz w:val="28"/>
          <w:szCs w:val="28"/>
        </w:rPr>
        <w:t>Axiall</w:t>
      </w:r>
      <w:proofErr w:type="spellEnd"/>
      <w:r w:rsidRPr="009C319B">
        <w:rPr>
          <w:rFonts w:ascii="Palatino" w:eastAsia="Times New Roman" w:hAnsi="Palatino" w:cs="Times New Roman"/>
          <w:i/>
          <w:iCs/>
          <w:sz w:val="28"/>
          <w:szCs w:val="28"/>
        </w:rPr>
        <w:t>, LLC</w:t>
      </w:r>
      <w:r w:rsidRPr="009C319B">
        <w:rPr>
          <w:rFonts w:ascii="Palatino" w:eastAsia="Times New Roman" w:hAnsi="Palatino" w:cs="Times New Roman"/>
          <w:sz w:val="28"/>
          <w:szCs w:val="28"/>
        </w:rPr>
        <w:t xml:space="preserve"> </w:t>
      </w:r>
      <w:r w:rsidRPr="009C319B">
        <w:rPr>
          <w:rStyle w:val="FootnoteReference"/>
          <w:rFonts w:ascii="Palatino" w:eastAsia="Times New Roman" w:hAnsi="Palatino" w:cs="Times New Roman"/>
          <w:sz w:val="28"/>
          <w:szCs w:val="28"/>
        </w:rPr>
        <w:footnoteReference w:id="1"/>
      </w:r>
      <w:r w:rsidRPr="009C319B">
        <w:rPr>
          <w:rFonts w:ascii="Palatino" w:eastAsia="Times New Roman" w:hAnsi="Palatino" w:cs="Times New Roman"/>
          <w:sz w:val="28"/>
          <w:szCs w:val="28"/>
        </w:rPr>
        <w:t xml:space="preserve">and </w:t>
      </w:r>
      <w:r w:rsidRPr="009C319B">
        <w:rPr>
          <w:rFonts w:ascii="Palatino" w:eastAsia="Times New Roman" w:hAnsi="Palatino" w:cs="Times New Roman"/>
          <w:i/>
          <w:iCs/>
          <w:sz w:val="28"/>
          <w:szCs w:val="28"/>
        </w:rPr>
        <w:t>Blue Cube Operations, LLC</w:t>
      </w:r>
      <w:r w:rsidRPr="009C319B">
        <w:rPr>
          <w:rFonts w:ascii="Palatino" w:eastAsia="Times New Roman" w:hAnsi="Palatino" w:cs="Times New Roman"/>
          <w:sz w:val="28"/>
          <w:szCs w:val="28"/>
        </w:rPr>
        <w:t>.</w:t>
      </w:r>
      <w:r w:rsidRPr="009C319B">
        <w:rPr>
          <w:rStyle w:val="FootnoteReference"/>
          <w:rFonts w:ascii="Palatino" w:eastAsia="Times New Roman" w:hAnsi="Palatino" w:cs="Times New Roman"/>
          <w:sz w:val="28"/>
          <w:szCs w:val="28"/>
        </w:rPr>
        <w:footnoteReference w:id="2"/>
      </w:r>
      <w:r w:rsidRPr="009C319B">
        <w:rPr>
          <w:rFonts w:ascii="Palatino" w:eastAsia="Times New Roman" w:hAnsi="Palatino" w:cs="Times New Roman"/>
          <w:sz w:val="28"/>
          <w:szCs w:val="28"/>
        </w:rPr>
        <w:t xml:space="preserve">  The language and table for Chapter 10 which was lifted directly from Chapter 9 maintains the same methodology </w:t>
      </w:r>
      <w:r w:rsidR="004D5AB8" w:rsidRPr="009C319B">
        <w:rPr>
          <w:rFonts w:ascii="Palatino" w:eastAsia="Times New Roman" w:hAnsi="Palatino" w:cs="Times New Roman"/>
          <w:sz w:val="28"/>
          <w:szCs w:val="28"/>
        </w:rPr>
        <w:t xml:space="preserve">that </w:t>
      </w:r>
      <w:r w:rsidRPr="009C319B">
        <w:rPr>
          <w:rFonts w:ascii="Palatino" w:eastAsia="Times New Roman" w:hAnsi="Palatino" w:cs="Times New Roman"/>
          <w:sz w:val="28"/>
          <w:szCs w:val="28"/>
        </w:rPr>
        <w:t xml:space="preserve">has been used to value brine mining wells for decades and which is further supported by multiple decisions of the Commission and affirmed by the Courts.  </w:t>
      </w:r>
    </w:p>
    <w:p w14:paraId="0A55FA2E" w14:textId="43C7D867" w:rsidR="002405E7" w:rsidRPr="009C319B" w:rsidRDefault="002405E7" w:rsidP="002405E7">
      <w:pPr>
        <w:jc w:val="both"/>
        <w:rPr>
          <w:rFonts w:ascii="Palatino" w:eastAsia="Times New Roman" w:hAnsi="Palatino" w:cs="Times New Roman"/>
          <w:sz w:val="28"/>
          <w:szCs w:val="28"/>
        </w:rPr>
      </w:pPr>
      <w:r w:rsidRPr="009C319B">
        <w:rPr>
          <w:rFonts w:ascii="Palatino" w:eastAsia="Times New Roman" w:hAnsi="Palatino" w:cs="Times New Roman"/>
          <w:sz w:val="28"/>
          <w:szCs w:val="28"/>
        </w:rPr>
        <w:lastRenderedPageBreak/>
        <w:t xml:space="preserve">The Louisiana Assessors Association previously proposed utilizing Chapter 25 regulations to value all salt cavern wells, including both brine solution mining wells and storage wells. The Louisiana Tax Commission rejected those proposals. The status quo should be maintained until all the issues surrounding brine mining wells and caverns can be adequately studied. Valuing the unused void left in the salt formation </w:t>
      </w:r>
      <w:proofErr w:type="gramStart"/>
      <w:r w:rsidRPr="009C319B">
        <w:rPr>
          <w:rFonts w:ascii="Palatino" w:eastAsia="Times New Roman" w:hAnsi="Palatino" w:cs="Times New Roman"/>
          <w:sz w:val="28"/>
          <w:szCs w:val="28"/>
        </w:rPr>
        <w:t>as a result of</w:t>
      </w:r>
      <w:proofErr w:type="gramEnd"/>
      <w:r w:rsidRPr="009C319B">
        <w:rPr>
          <w:rFonts w:ascii="Palatino" w:eastAsia="Times New Roman" w:hAnsi="Palatino" w:cs="Times New Roman"/>
          <w:sz w:val="28"/>
          <w:szCs w:val="28"/>
        </w:rPr>
        <w:t xml:space="preserve"> brine production operations the same as caverns actually permitted by LDNR for storage and being used as hydrocarbon storage units is unfair and a false calculation under the current regulatory structure. Caverns in use are separately permitted by LDNR, and a large number of salt caverns created as a result of brine production mining could never legally be used as storage units under current regulations nor receive Department of Natural Resources permits.</w:t>
      </w:r>
    </w:p>
    <w:p w14:paraId="3901584F" w14:textId="367ECFCC" w:rsidR="002405E7" w:rsidRPr="009C319B" w:rsidRDefault="003B2AC8" w:rsidP="002405E7">
      <w:pPr>
        <w:jc w:val="both"/>
        <w:rPr>
          <w:rFonts w:ascii="Palatino" w:hAnsi="Palatino"/>
          <w:sz w:val="28"/>
          <w:szCs w:val="28"/>
        </w:rPr>
      </w:pPr>
      <w:r w:rsidRPr="009C319B">
        <w:rPr>
          <w:rFonts w:ascii="Palatino" w:hAnsi="Palatino"/>
          <w:sz w:val="28"/>
          <w:szCs w:val="28"/>
        </w:rPr>
        <w:t>Continuing</w:t>
      </w:r>
      <w:r w:rsidR="002405E7" w:rsidRPr="009C319B">
        <w:rPr>
          <w:rFonts w:ascii="Palatino" w:hAnsi="Palatino"/>
          <w:sz w:val="28"/>
          <w:szCs w:val="28"/>
        </w:rPr>
        <w:t xml:space="preserve"> </w:t>
      </w:r>
      <w:r w:rsidRPr="009C319B">
        <w:rPr>
          <w:rFonts w:ascii="Palatino" w:hAnsi="Palatino"/>
          <w:sz w:val="28"/>
          <w:szCs w:val="28"/>
        </w:rPr>
        <w:t>the</w:t>
      </w:r>
      <w:r w:rsidR="002405E7" w:rsidRPr="009C319B">
        <w:rPr>
          <w:rFonts w:ascii="Palatino" w:hAnsi="Palatino"/>
          <w:sz w:val="28"/>
          <w:szCs w:val="28"/>
        </w:rPr>
        <w:t xml:space="preserve"> one-year extension of current </w:t>
      </w:r>
      <w:r w:rsidR="004D5AB8" w:rsidRPr="009C319B">
        <w:rPr>
          <w:rFonts w:ascii="Palatino" w:hAnsi="Palatino"/>
          <w:sz w:val="28"/>
          <w:szCs w:val="28"/>
        </w:rPr>
        <w:t xml:space="preserve">language used to value brine operation properties already </w:t>
      </w:r>
      <w:r w:rsidRPr="009C319B">
        <w:rPr>
          <w:rFonts w:ascii="Palatino" w:hAnsi="Palatino"/>
          <w:sz w:val="28"/>
          <w:szCs w:val="28"/>
        </w:rPr>
        <w:t xml:space="preserve">granted by the </w:t>
      </w:r>
      <w:r w:rsidR="003E327E" w:rsidRPr="009C319B">
        <w:rPr>
          <w:rFonts w:ascii="Palatino" w:hAnsi="Palatino"/>
          <w:sz w:val="28"/>
          <w:szCs w:val="28"/>
        </w:rPr>
        <w:t>Commission</w:t>
      </w:r>
      <w:r w:rsidRPr="009C319B">
        <w:rPr>
          <w:rFonts w:ascii="Palatino" w:hAnsi="Palatino"/>
          <w:sz w:val="28"/>
          <w:szCs w:val="28"/>
        </w:rPr>
        <w:t xml:space="preserve"> </w:t>
      </w:r>
      <w:r w:rsidR="002405E7" w:rsidRPr="009C319B">
        <w:rPr>
          <w:rFonts w:ascii="Palatino" w:hAnsi="Palatino"/>
          <w:sz w:val="28"/>
          <w:szCs w:val="28"/>
        </w:rPr>
        <w:t xml:space="preserve">will enable time to study and assess the proper course of action for fair market valuations. The LCA and LCIA request to be a part of the study group on the issue to be assembled for the 2024 rules and regulations. </w:t>
      </w:r>
    </w:p>
    <w:p w14:paraId="155CA382" w14:textId="77777777" w:rsidR="00565340" w:rsidRPr="009C319B" w:rsidRDefault="00565340" w:rsidP="00565340">
      <w:pPr>
        <w:spacing w:line="240" w:lineRule="auto"/>
        <w:jc w:val="both"/>
        <w:rPr>
          <w:rFonts w:ascii="Palatino" w:hAnsi="Palatino"/>
          <w:sz w:val="28"/>
          <w:szCs w:val="28"/>
        </w:rPr>
      </w:pPr>
    </w:p>
    <w:p w14:paraId="1DF96627" w14:textId="77777777" w:rsidR="00565340" w:rsidRPr="009C319B" w:rsidRDefault="00565340" w:rsidP="00565340">
      <w:pPr>
        <w:spacing w:line="240" w:lineRule="auto"/>
        <w:jc w:val="both"/>
        <w:rPr>
          <w:rFonts w:ascii="Palatino" w:hAnsi="Palatino"/>
          <w:sz w:val="28"/>
          <w:szCs w:val="28"/>
        </w:rPr>
      </w:pPr>
      <w:r w:rsidRPr="009C319B">
        <w:rPr>
          <w:rFonts w:ascii="Palatino" w:hAnsi="Palatino"/>
          <w:sz w:val="28"/>
          <w:szCs w:val="28"/>
        </w:rPr>
        <w:t xml:space="preserve">Sincerely, </w:t>
      </w:r>
    </w:p>
    <w:p w14:paraId="03D0BB4A" w14:textId="39F6A8B1" w:rsidR="00565340" w:rsidRDefault="00565340" w:rsidP="00565340">
      <w:pPr>
        <w:spacing w:line="240" w:lineRule="auto"/>
        <w:jc w:val="both"/>
        <w:rPr>
          <w:rFonts w:ascii="Palatino" w:hAnsi="Palatino"/>
          <w:sz w:val="28"/>
          <w:szCs w:val="28"/>
        </w:rPr>
      </w:pPr>
    </w:p>
    <w:p w14:paraId="46B25123" w14:textId="77777777" w:rsidR="007E156A" w:rsidRPr="009C319B" w:rsidRDefault="007E156A" w:rsidP="00565340">
      <w:pPr>
        <w:spacing w:line="240" w:lineRule="auto"/>
        <w:jc w:val="both"/>
        <w:rPr>
          <w:rFonts w:ascii="Palatino" w:hAnsi="Palatino"/>
          <w:sz w:val="28"/>
          <w:szCs w:val="28"/>
        </w:rPr>
      </w:pPr>
    </w:p>
    <w:p w14:paraId="79ADC68B" w14:textId="77777777" w:rsidR="00565340" w:rsidRPr="009C319B" w:rsidRDefault="00565340" w:rsidP="00565340">
      <w:pPr>
        <w:spacing w:line="240" w:lineRule="auto"/>
        <w:jc w:val="both"/>
        <w:rPr>
          <w:rFonts w:ascii="Palatino" w:hAnsi="Palatino"/>
          <w:sz w:val="28"/>
          <w:szCs w:val="28"/>
        </w:rPr>
      </w:pPr>
      <w:r w:rsidRPr="009C319B">
        <w:rPr>
          <w:rFonts w:ascii="Palatino" w:hAnsi="Palatino"/>
          <w:sz w:val="28"/>
          <w:szCs w:val="28"/>
        </w:rPr>
        <w:t>Greg Bowser</w:t>
      </w:r>
    </w:p>
    <w:p w14:paraId="6BBAAB20" w14:textId="556535B6" w:rsidR="00551018" w:rsidRPr="009C319B" w:rsidRDefault="00565340" w:rsidP="00565340">
      <w:pPr>
        <w:spacing w:line="240" w:lineRule="auto"/>
        <w:jc w:val="both"/>
        <w:rPr>
          <w:rFonts w:ascii="Palatino" w:hAnsi="Palatino"/>
          <w:sz w:val="28"/>
          <w:szCs w:val="28"/>
        </w:rPr>
      </w:pPr>
      <w:r w:rsidRPr="009C319B">
        <w:rPr>
          <w:rFonts w:ascii="Palatino" w:hAnsi="Palatino"/>
          <w:sz w:val="28"/>
          <w:szCs w:val="28"/>
        </w:rPr>
        <w:t>President, Louisiana Chemical Association</w:t>
      </w:r>
    </w:p>
    <w:sectPr w:rsidR="00551018" w:rsidRPr="009C319B" w:rsidSect="00565340">
      <w:headerReference w:type="default" r:id="rId11"/>
      <w:footerReference w:type="default" r:id="rId12"/>
      <w:pgSz w:w="12240" w:h="15840"/>
      <w:pgMar w:top="1152" w:right="720" w:bottom="1008" w:left="1008" w:header="720" w:footer="4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906E2" w14:textId="77777777" w:rsidR="00CB508C" w:rsidRDefault="00CB508C" w:rsidP="0093619E">
      <w:pPr>
        <w:spacing w:after="0" w:line="240" w:lineRule="auto"/>
      </w:pPr>
      <w:r>
        <w:separator/>
      </w:r>
    </w:p>
  </w:endnote>
  <w:endnote w:type="continuationSeparator" w:id="0">
    <w:p w14:paraId="7A08ED70" w14:textId="77777777" w:rsidR="00CB508C" w:rsidRDefault="00CB508C" w:rsidP="00936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Palatino">
    <w:altName w:val="Segoe UI Historic"/>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90D25" w14:textId="769A13BA" w:rsidR="00F17DA7" w:rsidRDefault="00F17DA7" w:rsidP="0093619E">
    <w:pPr>
      <w:pStyle w:val="Footer"/>
      <w:tabs>
        <w:tab w:val="right" w:pos="9270"/>
      </w:tabs>
      <w:ind w:hanging="720"/>
      <w:rPr>
        <w:rFonts w:asciiTheme="majorHAnsi" w:hAnsiTheme="majorHAnsi"/>
        <w:sz w:val="20"/>
        <w:szCs w:val="20"/>
      </w:rPr>
    </w:pPr>
  </w:p>
  <w:p w14:paraId="658A253F" w14:textId="76E59F9E" w:rsidR="0093619E" w:rsidRPr="00F17DA7" w:rsidRDefault="00D80C35" w:rsidP="00F17DA7">
    <w:pPr>
      <w:pStyle w:val="Footer"/>
      <w:tabs>
        <w:tab w:val="right" w:pos="9270"/>
      </w:tabs>
      <w:ind w:hanging="720"/>
      <w:jc w:val="center"/>
      <w:rPr>
        <w:rFonts w:asciiTheme="majorHAnsi" w:hAnsiTheme="majorHAnsi"/>
        <w:smallCaps/>
        <w:sz w:val="20"/>
        <w:szCs w:val="20"/>
      </w:rPr>
    </w:pPr>
    <w:r>
      <w:rPr>
        <w:rFonts w:asciiTheme="majorHAnsi" w:hAnsiTheme="majorHAnsi"/>
        <w:smallCaps/>
        <w:sz w:val="20"/>
        <w:szCs w:val="20"/>
      </w:rPr>
      <w:t>301 Main Street, Suite 2040</w:t>
    </w:r>
    <w:r w:rsidR="0093619E" w:rsidRPr="00F17DA7">
      <w:rPr>
        <w:rFonts w:asciiTheme="majorHAnsi" w:hAnsiTheme="majorHAnsi"/>
        <w:smallCaps/>
        <w:sz w:val="20"/>
        <w:szCs w:val="20"/>
      </w:rPr>
      <w:t>• Baton Rouge, Louisiana 708</w:t>
    </w:r>
    <w:r>
      <w:rPr>
        <w:rFonts w:asciiTheme="majorHAnsi" w:hAnsiTheme="majorHAnsi"/>
        <w:smallCaps/>
        <w:sz w:val="20"/>
        <w:szCs w:val="20"/>
      </w:rPr>
      <w:t>01</w:t>
    </w:r>
    <w:r w:rsidR="0093619E" w:rsidRPr="00F17DA7">
      <w:rPr>
        <w:rFonts w:asciiTheme="majorHAnsi" w:hAnsiTheme="majorHAnsi"/>
        <w:smallCaps/>
        <w:sz w:val="20"/>
        <w:szCs w:val="20"/>
      </w:rPr>
      <w:t xml:space="preserve"> • Phone (225) 344-2609 • Fax (225) 343-1007 • </w:t>
    </w:r>
    <w:r w:rsidR="0093619E" w:rsidRPr="00F17DA7">
      <w:rPr>
        <w:rFonts w:asciiTheme="majorHAnsi" w:hAnsiTheme="majorHAnsi"/>
        <w:sz w:val="20"/>
        <w:szCs w:val="20"/>
      </w:rPr>
      <w:t>www.lca.org</w:t>
    </w:r>
  </w:p>
  <w:p w14:paraId="7FC3D5CC" w14:textId="77777777" w:rsidR="0093619E" w:rsidRPr="00F17DA7" w:rsidRDefault="0093619E" w:rsidP="00F17DA7">
    <w:pPr>
      <w:pStyle w:val="Footer"/>
      <w:tabs>
        <w:tab w:val="right" w:pos="9270"/>
      </w:tabs>
      <w:jc w:val="center"/>
      <w:rPr>
        <w:rFonts w:asciiTheme="majorHAnsi" w:hAnsiTheme="majorHAnsi"/>
        <w:smallCap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4A1F1" w14:textId="77777777" w:rsidR="00CB508C" w:rsidRDefault="00CB508C" w:rsidP="0093619E">
      <w:pPr>
        <w:spacing w:after="0" w:line="240" w:lineRule="auto"/>
      </w:pPr>
      <w:r>
        <w:separator/>
      </w:r>
    </w:p>
  </w:footnote>
  <w:footnote w:type="continuationSeparator" w:id="0">
    <w:p w14:paraId="3A62EFFD" w14:textId="77777777" w:rsidR="00CB508C" w:rsidRDefault="00CB508C" w:rsidP="0093619E">
      <w:pPr>
        <w:spacing w:after="0" w:line="240" w:lineRule="auto"/>
      </w:pPr>
      <w:r>
        <w:continuationSeparator/>
      </w:r>
    </w:p>
  </w:footnote>
  <w:footnote w:id="1">
    <w:p w14:paraId="2670B3AE" w14:textId="77777777" w:rsidR="00ED34A0" w:rsidRDefault="00ED34A0" w:rsidP="00ED34A0">
      <w:pPr>
        <w:pStyle w:val="FootnoteText"/>
      </w:pPr>
      <w:r>
        <w:rPr>
          <w:rStyle w:val="FootnoteReference"/>
        </w:rPr>
        <w:footnoteRef/>
      </w:r>
      <w:r>
        <w:t xml:space="preserve"> </w:t>
      </w:r>
      <w:proofErr w:type="spellStart"/>
      <w:r w:rsidRPr="00861403">
        <w:rPr>
          <w:i/>
          <w:iCs/>
        </w:rPr>
        <w:t>Axiall</w:t>
      </w:r>
      <w:proofErr w:type="spellEnd"/>
      <w:r w:rsidRPr="00861403">
        <w:rPr>
          <w:i/>
          <w:iCs/>
        </w:rPr>
        <w:t>, LLC v. Assumption Parish Board of Review</w:t>
      </w:r>
      <w:r>
        <w:t>, 18-0542 (La. App. 1 Cir. 12/30/19; 302 So.3d 1136, writ denied, 20-0155 (La. 12/22/20).</w:t>
      </w:r>
    </w:p>
  </w:footnote>
  <w:footnote w:id="2">
    <w:p w14:paraId="4CA9CEF6" w14:textId="5C4852C6" w:rsidR="00ED34A0" w:rsidRDefault="00ED34A0" w:rsidP="00ED34A0">
      <w:pPr>
        <w:pStyle w:val="FootnoteText"/>
      </w:pPr>
      <w:r>
        <w:rPr>
          <w:rStyle w:val="FootnoteReference"/>
        </w:rPr>
        <w:footnoteRef/>
      </w:r>
      <w:r>
        <w:t xml:space="preserve"> </w:t>
      </w:r>
      <w:r w:rsidRPr="00861403">
        <w:rPr>
          <w:i/>
          <w:iCs/>
        </w:rPr>
        <w:t>Blue Cube Operations, LLC v Assumption Parish Board of Review</w:t>
      </w:r>
      <w:r>
        <w:t>, 20-0157 (La. App. 1 Cir. 11/6/20)</w:t>
      </w:r>
      <w:r w:rsidR="004D5AB8">
        <w:t xml:space="preserve">. 315 So.3d </w:t>
      </w:r>
      <w:proofErr w:type="gramStart"/>
      <w:r w:rsidR="004D5AB8">
        <w:t>887.</w:t>
      </w:r>
      <w:r>
        <w:t>.</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34728" w14:textId="77777777" w:rsidR="0093619E" w:rsidRPr="0093619E" w:rsidRDefault="0093619E" w:rsidP="0093619E">
    <w:pPr>
      <w:pStyle w:val="Header"/>
      <w:tabs>
        <w:tab w:val="clear" w:pos="9360"/>
        <w:tab w:val="right" w:pos="9900"/>
      </w:tabs>
      <w:ind w:hanging="720"/>
      <w:rPr>
        <w:rFonts w:asciiTheme="majorHAnsi" w:hAnsiTheme="majorHAnsi"/>
        <w:b/>
        <w:sz w:val="40"/>
      </w:rPr>
    </w:pPr>
    <w:r>
      <w:rPr>
        <w:noProof/>
      </w:rPr>
      <w:drawing>
        <wp:inline distT="0" distB="0" distL="0" distR="0" wp14:anchorId="2DB9FC8A" wp14:editId="5319FFBE">
          <wp:extent cx="1123950" cy="457200"/>
          <wp:effectExtent l="0" t="0" r="0" b="0"/>
          <wp:docPr id="17" name="Picture 17" descr="cid:image003.jpg@01CDF49F.2EB47C10"/>
          <wp:cNvGraphicFramePr/>
          <a:graphic xmlns:a="http://schemas.openxmlformats.org/drawingml/2006/main">
            <a:graphicData uri="http://schemas.openxmlformats.org/drawingml/2006/picture">
              <pic:pic xmlns:pic="http://schemas.openxmlformats.org/drawingml/2006/picture">
                <pic:nvPicPr>
                  <pic:cNvPr id="1" name="Picture 1" descr="cid:image003.jpg@01CDF49F.2EB47C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457200"/>
                  </a:xfrm>
                  <a:prstGeom prst="rect">
                    <a:avLst/>
                  </a:prstGeom>
                  <a:noFill/>
                  <a:ln>
                    <a:noFill/>
                  </a:ln>
                </pic:spPr>
              </pic:pic>
            </a:graphicData>
          </a:graphic>
        </wp:inline>
      </w:drawing>
    </w:r>
    <w:r>
      <w:tab/>
    </w:r>
    <w:r>
      <w:tab/>
    </w:r>
    <w:r w:rsidRPr="00481F5D">
      <w:rPr>
        <w:rFonts w:asciiTheme="majorHAnsi" w:hAnsiTheme="majorHAnsi"/>
        <w:b/>
        <w:sz w:val="40"/>
      </w:rPr>
      <w:t>Louisiana Chemical Association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3644"/>
    <w:multiLevelType w:val="multilevel"/>
    <w:tmpl w:val="031ECE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2D4DDD"/>
    <w:multiLevelType w:val="multilevel"/>
    <w:tmpl w:val="A24E30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C32606"/>
    <w:multiLevelType w:val="hybridMultilevel"/>
    <w:tmpl w:val="FF98F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F01F00"/>
    <w:multiLevelType w:val="hybridMultilevel"/>
    <w:tmpl w:val="E54AE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730CC5"/>
    <w:multiLevelType w:val="multilevel"/>
    <w:tmpl w:val="441400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08278D"/>
    <w:multiLevelType w:val="multilevel"/>
    <w:tmpl w:val="07DCCA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32657C"/>
    <w:multiLevelType w:val="multilevel"/>
    <w:tmpl w:val="30B61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2851E1"/>
    <w:multiLevelType w:val="multilevel"/>
    <w:tmpl w:val="F8C894E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 w15:restartNumberingAfterBreak="0">
    <w:nsid w:val="525A16BB"/>
    <w:multiLevelType w:val="multilevel"/>
    <w:tmpl w:val="5C4A11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694292"/>
    <w:multiLevelType w:val="multilevel"/>
    <w:tmpl w:val="4154C2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196749"/>
    <w:multiLevelType w:val="multilevel"/>
    <w:tmpl w:val="4E06C5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3958A9"/>
    <w:multiLevelType w:val="multilevel"/>
    <w:tmpl w:val="14508E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06052877">
    <w:abstractNumId w:val="7"/>
  </w:num>
  <w:num w:numId="2" w16cid:durableId="1519587042">
    <w:abstractNumId w:val="10"/>
  </w:num>
  <w:num w:numId="3" w16cid:durableId="765615465">
    <w:abstractNumId w:val="4"/>
  </w:num>
  <w:num w:numId="4" w16cid:durableId="408581199">
    <w:abstractNumId w:val="0"/>
  </w:num>
  <w:num w:numId="5" w16cid:durableId="1021083326">
    <w:abstractNumId w:val="1"/>
  </w:num>
  <w:num w:numId="6" w16cid:durableId="335811774">
    <w:abstractNumId w:val="3"/>
  </w:num>
  <w:num w:numId="7" w16cid:durableId="10449607">
    <w:abstractNumId w:val="6"/>
  </w:num>
  <w:num w:numId="8" w16cid:durableId="515508239">
    <w:abstractNumId w:val="9"/>
  </w:num>
  <w:num w:numId="9" w16cid:durableId="1295407283">
    <w:abstractNumId w:val="8"/>
  </w:num>
  <w:num w:numId="10" w16cid:durableId="1168597264">
    <w:abstractNumId w:val="11"/>
  </w:num>
  <w:num w:numId="11" w16cid:durableId="1973974659">
    <w:abstractNumId w:val="5"/>
  </w:num>
  <w:num w:numId="12" w16cid:durableId="19273802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19E"/>
    <w:rsid w:val="000A0AFB"/>
    <w:rsid w:val="000A40F4"/>
    <w:rsid w:val="000C3DCF"/>
    <w:rsid w:val="00180BD5"/>
    <w:rsid w:val="001F727B"/>
    <w:rsid w:val="00216E30"/>
    <w:rsid w:val="002405E7"/>
    <w:rsid w:val="003156F6"/>
    <w:rsid w:val="00394FEB"/>
    <w:rsid w:val="003B2AC8"/>
    <w:rsid w:val="003E327E"/>
    <w:rsid w:val="004025D3"/>
    <w:rsid w:val="00436668"/>
    <w:rsid w:val="00454454"/>
    <w:rsid w:val="00467F23"/>
    <w:rsid w:val="00482295"/>
    <w:rsid w:val="004D5AB8"/>
    <w:rsid w:val="00532470"/>
    <w:rsid w:val="00551018"/>
    <w:rsid w:val="00565340"/>
    <w:rsid w:val="005A54D2"/>
    <w:rsid w:val="005B59F6"/>
    <w:rsid w:val="00662AE0"/>
    <w:rsid w:val="00683CE1"/>
    <w:rsid w:val="00687AE9"/>
    <w:rsid w:val="0074052D"/>
    <w:rsid w:val="00744F09"/>
    <w:rsid w:val="00790604"/>
    <w:rsid w:val="007A6E20"/>
    <w:rsid w:val="007E156A"/>
    <w:rsid w:val="008F145F"/>
    <w:rsid w:val="008F7E97"/>
    <w:rsid w:val="00900044"/>
    <w:rsid w:val="009073E1"/>
    <w:rsid w:val="00927BC8"/>
    <w:rsid w:val="0093619E"/>
    <w:rsid w:val="00967B42"/>
    <w:rsid w:val="009C319B"/>
    <w:rsid w:val="00A05D5A"/>
    <w:rsid w:val="00A22207"/>
    <w:rsid w:val="00AB2F45"/>
    <w:rsid w:val="00AE0E3F"/>
    <w:rsid w:val="00AF33DA"/>
    <w:rsid w:val="00AF5177"/>
    <w:rsid w:val="00C25F09"/>
    <w:rsid w:val="00C26DD1"/>
    <w:rsid w:val="00C632C2"/>
    <w:rsid w:val="00C672BC"/>
    <w:rsid w:val="00CB508C"/>
    <w:rsid w:val="00CD170D"/>
    <w:rsid w:val="00D76066"/>
    <w:rsid w:val="00D80C35"/>
    <w:rsid w:val="00D80F81"/>
    <w:rsid w:val="00D96FC3"/>
    <w:rsid w:val="00DA4032"/>
    <w:rsid w:val="00DB46D8"/>
    <w:rsid w:val="00DE7A99"/>
    <w:rsid w:val="00E91953"/>
    <w:rsid w:val="00E97888"/>
    <w:rsid w:val="00ED34A0"/>
    <w:rsid w:val="00F15729"/>
    <w:rsid w:val="00F17DA7"/>
    <w:rsid w:val="00F841D0"/>
    <w:rsid w:val="00FA3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9061E6"/>
  <w15:chartTrackingRefBased/>
  <w15:docId w15:val="{8F0433F9-AD39-4C29-BB1C-6B09236C8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1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19E"/>
  </w:style>
  <w:style w:type="paragraph" w:styleId="Footer">
    <w:name w:val="footer"/>
    <w:basedOn w:val="Normal"/>
    <w:link w:val="FooterChar"/>
    <w:uiPriority w:val="99"/>
    <w:unhideWhenUsed/>
    <w:rsid w:val="009361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19E"/>
  </w:style>
  <w:style w:type="character" w:styleId="Hyperlink">
    <w:name w:val="Hyperlink"/>
    <w:basedOn w:val="DefaultParagraphFont"/>
    <w:uiPriority w:val="99"/>
    <w:unhideWhenUsed/>
    <w:rsid w:val="00C26DD1"/>
    <w:rPr>
      <w:color w:val="0563C1" w:themeColor="hyperlink"/>
      <w:u w:val="single"/>
    </w:rPr>
  </w:style>
  <w:style w:type="paragraph" w:customStyle="1" w:styleId="paragraph">
    <w:name w:val="paragraph"/>
    <w:basedOn w:val="Normal"/>
    <w:rsid w:val="008F7E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F7E97"/>
  </w:style>
  <w:style w:type="character" w:customStyle="1" w:styleId="eop">
    <w:name w:val="eop"/>
    <w:basedOn w:val="DefaultParagraphFont"/>
    <w:rsid w:val="008F7E97"/>
  </w:style>
  <w:style w:type="paragraph" w:styleId="FootnoteText">
    <w:name w:val="footnote text"/>
    <w:basedOn w:val="Normal"/>
    <w:link w:val="FootnoteTextChar"/>
    <w:uiPriority w:val="99"/>
    <w:semiHidden/>
    <w:unhideWhenUsed/>
    <w:rsid w:val="00ED34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34A0"/>
    <w:rPr>
      <w:sz w:val="20"/>
      <w:szCs w:val="20"/>
    </w:rPr>
  </w:style>
  <w:style w:type="character" w:styleId="FootnoteReference">
    <w:name w:val="footnote reference"/>
    <w:basedOn w:val="DefaultParagraphFont"/>
    <w:uiPriority w:val="99"/>
    <w:semiHidden/>
    <w:unhideWhenUsed/>
    <w:rsid w:val="00ED34A0"/>
    <w:rPr>
      <w:vertAlign w:val="superscript"/>
    </w:rPr>
  </w:style>
  <w:style w:type="paragraph" w:styleId="Revision">
    <w:name w:val="Revision"/>
    <w:hidden/>
    <w:uiPriority w:val="99"/>
    <w:semiHidden/>
    <w:rsid w:val="009C31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11081">
      <w:bodyDiv w:val="1"/>
      <w:marLeft w:val="0"/>
      <w:marRight w:val="0"/>
      <w:marTop w:val="0"/>
      <w:marBottom w:val="0"/>
      <w:divBdr>
        <w:top w:val="none" w:sz="0" w:space="0" w:color="auto"/>
        <w:left w:val="none" w:sz="0" w:space="0" w:color="auto"/>
        <w:bottom w:val="none" w:sz="0" w:space="0" w:color="auto"/>
        <w:right w:val="none" w:sz="0" w:space="0" w:color="auto"/>
      </w:divBdr>
    </w:div>
    <w:div w:id="177282462">
      <w:bodyDiv w:val="1"/>
      <w:marLeft w:val="0"/>
      <w:marRight w:val="0"/>
      <w:marTop w:val="0"/>
      <w:marBottom w:val="0"/>
      <w:divBdr>
        <w:top w:val="none" w:sz="0" w:space="0" w:color="auto"/>
        <w:left w:val="none" w:sz="0" w:space="0" w:color="auto"/>
        <w:bottom w:val="none" w:sz="0" w:space="0" w:color="auto"/>
        <w:right w:val="none" w:sz="0" w:space="0" w:color="auto"/>
      </w:divBdr>
    </w:div>
    <w:div w:id="1734965135">
      <w:bodyDiv w:val="1"/>
      <w:marLeft w:val="0"/>
      <w:marRight w:val="0"/>
      <w:marTop w:val="0"/>
      <w:marBottom w:val="0"/>
      <w:divBdr>
        <w:top w:val="none" w:sz="0" w:space="0" w:color="auto"/>
        <w:left w:val="none" w:sz="0" w:space="0" w:color="auto"/>
        <w:bottom w:val="none" w:sz="0" w:space="0" w:color="auto"/>
        <w:right w:val="none" w:sz="0" w:space="0" w:color="auto"/>
      </w:divBdr>
      <w:divsChild>
        <w:div w:id="915700967">
          <w:marLeft w:val="0"/>
          <w:marRight w:val="0"/>
          <w:marTop w:val="0"/>
          <w:marBottom w:val="0"/>
          <w:divBdr>
            <w:top w:val="none" w:sz="0" w:space="0" w:color="auto"/>
            <w:left w:val="none" w:sz="0" w:space="0" w:color="auto"/>
            <w:bottom w:val="none" w:sz="0" w:space="0" w:color="auto"/>
            <w:right w:val="none" w:sz="0" w:space="0" w:color="auto"/>
          </w:divBdr>
        </w:div>
        <w:div w:id="1154645916">
          <w:marLeft w:val="0"/>
          <w:marRight w:val="0"/>
          <w:marTop w:val="0"/>
          <w:marBottom w:val="0"/>
          <w:divBdr>
            <w:top w:val="none" w:sz="0" w:space="0" w:color="auto"/>
            <w:left w:val="none" w:sz="0" w:space="0" w:color="auto"/>
            <w:bottom w:val="none" w:sz="0" w:space="0" w:color="auto"/>
            <w:right w:val="none" w:sz="0" w:space="0" w:color="auto"/>
          </w:divBdr>
        </w:div>
        <w:div w:id="785276166">
          <w:marLeft w:val="0"/>
          <w:marRight w:val="0"/>
          <w:marTop w:val="0"/>
          <w:marBottom w:val="0"/>
          <w:divBdr>
            <w:top w:val="none" w:sz="0" w:space="0" w:color="auto"/>
            <w:left w:val="none" w:sz="0" w:space="0" w:color="auto"/>
            <w:bottom w:val="none" w:sz="0" w:space="0" w:color="auto"/>
            <w:right w:val="none" w:sz="0" w:space="0" w:color="auto"/>
          </w:divBdr>
        </w:div>
        <w:div w:id="1589264353">
          <w:marLeft w:val="0"/>
          <w:marRight w:val="0"/>
          <w:marTop w:val="0"/>
          <w:marBottom w:val="0"/>
          <w:divBdr>
            <w:top w:val="none" w:sz="0" w:space="0" w:color="auto"/>
            <w:left w:val="none" w:sz="0" w:space="0" w:color="auto"/>
            <w:bottom w:val="none" w:sz="0" w:space="0" w:color="auto"/>
            <w:right w:val="none" w:sz="0" w:space="0" w:color="auto"/>
          </w:divBdr>
        </w:div>
        <w:div w:id="602613320">
          <w:marLeft w:val="0"/>
          <w:marRight w:val="0"/>
          <w:marTop w:val="0"/>
          <w:marBottom w:val="0"/>
          <w:divBdr>
            <w:top w:val="none" w:sz="0" w:space="0" w:color="auto"/>
            <w:left w:val="none" w:sz="0" w:space="0" w:color="auto"/>
            <w:bottom w:val="none" w:sz="0" w:space="0" w:color="auto"/>
            <w:right w:val="none" w:sz="0" w:space="0" w:color="auto"/>
          </w:divBdr>
        </w:div>
        <w:div w:id="935021609">
          <w:marLeft w:val="0"/>
          <w:marRight w:val="0"/>
          <w:marTop w:val="0"/>
          <w:marBottom w:val="0"/>
          <w:divBdr>
            <w:top w:val="none" w:sz="0" w:space="0" w:color="auto"/>
            <w:left w:val="none" w:sz="0" w:space="0" w:color="auto"/>
            <w:bottom w:val="none" w:sz="0" w:space="0" w:color="auto"/>
            <w:right w:val="none" w:sz="0" w:space="0" w:color="auto"/>
          </w:divBdr>
        </w:div>
        <w:div w:id="1457486186">
          <w:marLeft w:val="0"/>
          <w:marRight w:val="0"/>
          <w:marTop w:val="0"/>
          <w:marBottom w:val="0"/>
          <w:divBdr>
            <w:top w:val="none" w:sz="0" w:space="0" w:color="auto"/>
            <w:left w:val="none" w:sz="0" w:space="0" w:color="auto"/>
            <w:bottom w:val="none" w:sz="0" w:space="0" w:color="auto"/>
            <w:right w:val="none" w:sz="0" w:space="0" w:color="auto"/>
          </w:divBdr>
        </w:div>
        <w:div w:id="2021932094">
          <w:marLeft w:val="0"/>
          <w:marRight w:val="0"/>
          <w:marTop w:val="0"/>
          <w:marBottom w:val="0"/>
          <w:divBdr>
            <w:top w:val="none" w:sz="0" w:space="0" w:color="auto"/>
            <w:left w:val="none" w:sz="0" w:space="0" w:color="auto"/>
            <w:bottom w:val="none" w:sz="0" w:space="0" w:color="auto"/>
            <w:right w:val="none" w:sz="0" w:space="0" w:color="auto"/>
          </w:divBdr>
        </w:div>
        <w:div w:id="934943627">
          <w:marLeft w:val="0"/>
          <w:marRight w:val="0"/>
          <w:marTop w:val="0"/>
          <w:marBottom w:val="0"/>
          <w:divBdr>
            <w:top w:val="none" w:sz="0" w:space="0" w:color="auto"/>
            <w:left w:val="none" w:sz="0" w:space="0" w:color="auto"/>
            <w:bottom w:val="none" w:sz="0" w:space="0" w:color="auto"/>
            <w:right w:val="none" w:sz="0" w:space="0" w:color="auto"/>
          </w:divBdr>
        </w:div>
        <w:div w:id="704452609">
          <w:marLeft w:val="0"/>
          <w:marRight w:val="0"/>
          <w:marTop w:val="0"/>
          <w:marBottom w:val="0"/>
          <w:divBdr>
            <w:top w:val="none" w:sz="0" w:space="0" w:color="auto"/>
            <w:left w:val="none" w:sz="0" w:space="0" w:color="auto"/>
            <w:bottom w:val="none" w:sz="0" w:space="0" w:color="auto"/>
            <w:right w:val="none" w:sz="0" w:space="0" w:color="auto"/>
          </w:divBdr>
        </w:div>
        <w:div w:id="1669793427">
          <w:marLeft w:val="0"/>
          <w:marRight w:val="0"/>
          <w:marTop w:val="0"/>
          <w:marBottom w:val="0"/>
          <w:divBdr>
            <w:top w:val="none" w:sz="0" w:space="0" w:color="auto"/>
            <w:left w:val="none" w:sz="0" w:space="0" w:color="auto"/>
            <w:bottom w:val="none" w:sz="0" w:space="0" w:color="auto"/>
            <w:right w:val="none" w:sz="0" w:space="0" w:color="auto"/>
          </w:divBdr>
          <w:divsChild>
            <w:div w:id="1525168575">
              <w:marLeft w:val="0"/>
              <w:marRight w:val="0"/>
              <w:marTop w:val="0"/>
              <w:marBottom w:val="0"/>
              <w:divBdr>
                <w:top w:val="none" w:sz="0" w:space="0" w:color="auto"/>
                <w:left w:val="none" w:sz="0" w:space="0" w:color="auto"/>
                <w:bottom w:val="none" w:sz="0" w:space="0" w:color="auto"/>
                <w:right w:val="none" w:sz="0" w:space="0" w:color="auto"/>
              </w:divBdr>
            </w:div>
            <w:div w:id="2074228956">
              <w:marLeft w:val="0"/>
              <w:marRight w:val="0"/>
              <w:marTop w:val="0"/>
              <w:marBottom w:val="0"/>
              <w:divBdr>
                <w:top w:val="none" w:sz="0" w:space="0" w:color="auto"/>
                <w:left w:val="none" w:sz="0" w:space="0" w:color="auto"/>
                <w:bottom w:val="none" w:sz="0" w:space="0" w:color="auto"/>
                <w:right w:val="none" w:sz="0" w:space="0" w:color="auto"/>
              </w:divBdr>
            </w:div>
            <w:div w:id="1477914829">
              <w:marLeft w:val="0"/>
              <w:marRight w:val="0"/>
              <w:marTop w:val="0"/>
              <w:marBottom w:val="0"/>
              <w:divBdr>
                <w:top w:val="none" w:sz="0" w:space="0" w:color="auto"/>
                <w:left w:val="none" w:sz="0" w:space="0" w:color="auto"/>
                <w:bottom w:val="none" w:sz="0" w:space="0" w:color="auto"/>
                <w:right w:val="none" w:sz="0" w:space="0" w:color="auto"/>
              </w:divBdr>
            </w:div>
            <w:div w:id="2092046820">
              <w:marLeft w:val="0"/>
              <w:marRight w:val="0"/>
              <w:marTop w:val="0"/>
              <w:marBottom w:val="0"/>
              <w:divBdr>
                <w:top w:val="none" w:sz="0" w:space="0" w:color="auto"/>
                <w:left w:val="none" w:sz="0" w:space="0" w:color="auto"/>
                <w:bottom w:val="none" w:sz="0" w:space="0" w:color="auto"/>
                <w:right w:val="none" w:sz="0" w:space="0" w:color="auto"/>
              </w:divBdr>
            </w:div>
            <w:div w:id="825243908">
              <w:marLeft w:val="0"/>
              <w:marRight w:val="0"/>
              <w:marTop w:val="0"/>
              <w:marBottom w:val="0"/>
              <w:divBdr>
                <w:top w:val="none" w:sz="0" w:space="0" w:color="auto"/>
                <w:left w:val="none" w:sz="0" w:space="0" w:color="auto"/>
                <w:bottom w:val="none" w:sz="0" w:space="0" w:color="auto"/>
                <w:right w:val="none" w:sz="0" w:space="0" w:color="auto"/>
              </w:divBdr>
            </w:div>
          </w:divsChild>
        </w:div>
        <w:div w:id="368068862">
          <w:marLeft w:val="0"/>
          <w:marRight w:val="0"/>
          <w:marTop w:val="0"/>
          <w:marBottom w:val="0"/>
          <w:divBdr>
            <w:top w:val="none" w:sz="0" w:space="0" w:color="auto"/>
            <w:left w:val="none" w:sz="0" w:space="0" w:color="auto"/>
            <w:bottom w:val="none" w:sz="0" w:space="0" w:color="auto"/>
            <w:right w:val="none" w:sz="0" w:space="0" w:color="auto"/>
          </w:divBdr>
          <w:divsChild>
            <w:div w:id="2145006592">
              <w:marLeft w:val="0"/>
              <w:marRight w:val="0"/>
              <w:marTop w:val="0"/>
              <w:marBottom w:val="0"/>
              <w:divBdr>
                <w:top w:val="none" w:sz="0" w:space="0" w:color="auto"/>
                <w:left w:val="none" w:sz="0" w:space="0" w:color="auto"/>
                <w:bottom w:val="none" w:sz="0" w:space="0" w:color="auto"/>
                <w:right w:val="none" w:sz="0" w:space="0" w:color="auto"/>
              </w:divBdr>
            </w:div>
            <w:div w:id="981347903">
              <w:marLeft w:val="0"/>
              <w:marRight w:val="0"/>
              <w:marTop w:val="0"/>
              <w:marBottom w:val="0"/>
              <w:divBdr>
                <w:top w:val="none" w:sz="0" w:space="0" w:color="auto"/>
                <w:left w:val="none" w:sz="0" w:space="0" w:color="auto"/>
                <w:bottom w:val="none" w:sz="0" w:space="0" w:color="auto"/>
                <w:right w:val="none" w:sz="0" w:space="0" w:color="auto"/>
              </w:divBdr>
            </w:div>
            <w:div w:id="639724594">
              <w:marLeft w:val="0"/>
              <w:marRight w:val="0"/>
              <w:marTop w:val="0"/>
              <w:marBottom w:val="0"/>
              <w:divBdr>
                <w:top w:val="none" w:sz="0" w:space="0" w:color="auto"/>
                <w:left w:val="none" w:sz="0" w:space="0" w:color="auto"/>
                <w:bottom w:val="none" w:sz="0" w:space="0" w:color="auto"/>
                <w:right w:val="none" w:sz="0" w:space="0" w:color="auto"/>
              </w:divBdr>
            </w:div>
            <w:div w:id="197155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442695">
      <w:bodyDiv w:val="1"/>
      <w:marLeft w:val="0"/>
      <w:marRight w:val="0"/>
      <w:marTop w:val="0"/>
      <w:marBottom w:val="0"/>
      <w:divBdr>
        <w:top w:val="none" w:sz="0" w:space="0" w:color="auto"/>
        <w:left w:val="none" w:sz="0" w:space="0" w:color="auto"/>
        <w:bottom w:val="none" w:sz="0" w:space="0" w:color="auto"/>
        <w:right w:val="none" w:sz="0" w:space="0" w:color="auto"/>
      </w:divBdr>
      <w:divsChild>
        <w:div w:id="797920996">
          <w:marLeft w:val="0"/>
          <w:marRight w:val="0"/>
          <w:marTop w:val="0"/>
          <w:marBottom w:val="0"/>
          <w:divBdr>
            <w:top w:val="none" w:sz="0" w:space="0" w:color="auto"/>
            <w:left w:val="none" w:sz="0" w:space="0" w:color="auto"/>
            <w:bottom w:val="none" w:sz="0" w:space="0" w:color="auto"/>
            <w:right w:val="none" w:sz="0" w:space="0" w:color="auto"/>
          </w:divBdr>
        </w:div>
        <w:div w:id="320306601">
          <w:marLeft w:val="0"/>
          <w:marRight w:val="0"/>
          <w:marTop w:val="0"/>
          <w:marBottom w:val="0"/>
          <w:divBdr>
            <w:top w:val="none" w:sz="0" w:space="0" w:color="auto"/>
            <w:left w:val="none" w:sz="0" w:space="0" w:color="auto"/>
            <w:bottom w:val="none" w:sz="0" w:space="0" w:color="auto"/>
            <w:right w:val="none" w:sz="0" w:space="0" w:color="auto"/>
          </w:divBdr>
        </w:div>
        <w:div w:id="1988898955">
          <w:marLeft w:val="0"/>
          <w:marRight w:val="0"/>
          <w:marTop w:val="0"/>
          <w:marBottom w:val="0"/>
          <w:divBdr>
            <w:top w:val="none" w:sz="0" w:space="0" w:color="auto"/>
            <w:left w:val="none" w:sz="0" w:space="0" w:color="auto"/>
            <w:bottom w:val="none" w:sz="0" w:space="0" w:color="auto"/>
            <w:right w:val="none" w:sz="0" w:space="0" w:color="auto"/>
          </w:divBdr>
        </w:div>
        <w:div w:id="1207371649">
          <w:marLeft w:val="0"/>
          <w:marRight w:val="0"/>
          <w:marTop w:val="0"/>
          <w:marBottom w:val="0"/>
          <w:divBdr>
            <w:top w:val="none" w:sz="0" w:space="0" w:color="auto"/>
            <w:left w:val="none" w:sz="0" w:space="0" w:color="auto"/>
            <w:bottom w:val="none" w:sz="0" w:space="0" w:color="auto"/>
            <w:right w:val="none" w:sz="0" w:space="0" w:color="auto"/>
          </w:divBdr>
        </w:div>
        <w:div w:id="1810706571">
          <w:marLeft w:val="0"/>
          <w:marRight w:val="0"/>
          <w:marTop w:val="0"/>
          <w:marBottom w:val="0"/>
          <w:divBdr>
            <w:top w:val="none" w:sz="0" w:space="0" w:color="auto"/>
            <w:left w:val="none" w:sz="0" w:space="0" w:color="auto"/>
            <w:bottom w:val="none" w:sz="0" w:space="0" w:color="auto"/>
            <w:right w:val="none" w:sz="0" w:space="0" w:color="auto"/>
          </w:divBdr>
        </w:div>
        <w:div w:id="1757165068">
          <w:marLeft w:val="0"/>
          <w:marRight w:val="0"/>
          <w:marTop w:val="0"/>
          <w:marBottom w:val="0"/>
          <w:divBdr>
            <w:top w:val="none" w:sz="0" w:space="0" w:color="auto"/>
            <w:left w:val="none" w:sz="0" w:space="0" w:color="auto"/>
            <w:bottom w:val="none" w:sz="0" w:space="0" w:color="auto"/>
            <w:right w:val="none" w:sz="0" w:space="0" w:color="auto"/>
          </w:divBdr>
        </w:div>
        <w:div w:id="303656195">
          <w:marLeft w:val="0"/>
          <w:marRight w:val="0"/>
          <w:marTop w:val="0"/>
          <w:marBottom w:val="0"/>
          <w:divBdr>
            <w:top w:val="none" w:sz="0" w:space="0" w:color="auto"/>
            <w:left w:val="none" w:sz="0" w:space="0" w:color="auto"/>
            <w:bottom w:val="none" w:sz="0" w:space="0" w:color="auto"/>
            <w:right w:val="none" w:sz="0" w:space="0" w:color="auto"/>
          </w:divBdr>
        </w:div>
        <w:div w:id="611981997">
          <w:marLeft w:val="0"/>
          <w:marRight w:val="0"/>
          <w:marTop w:val="0"/>
          <w:marBottom w:val="0"/>
          <w:divBdr>
            <w:top w:val="none" w:sz="0" w:space="0" w:color="auto"/>
            <w:left w:val="none" w:sz="0" w:space="0" w:color="auto"/>
            <w:bottom w:val="none" w:sz="0" w:space="0" w:color="auto"/>
            <w:right w:val="none" w:sz="0" w:space="0" w:color="auto"/>
          </w:divBdr>
        </w:div>
        <w:div w:id="1822118204">
          <w:marLeft w:val="0"/>
          <w:marRight w:val="0"/>
          <w:marTop w:val="0"/>
          <w:marBottom w:val="0"/>
          <w:divBdr>
            <w:top w:val="none" w:sz="0" w:space="0" w:color="auto"/>
            <w:left w:val="none" w:sz="0" w:space="0" w:color="auto"/>
            <w:bottom w:val="none" w:sz="0" w:space="0" w:color="auto"/>
            <w:right w:val="none" w:sz="0" w:space="0" w:color="auto"/>
          </w:divBdr>
        </w:div>
        <w:div w:id="50547734">
          <w:marLeft w:val="0"/>
          <w:marRight w:val="0"/>
          <w:marTop w:val="0"/>
          <w:marBottom w:val="0"/>
          <w:divBdr>
            <w:top w:val="none" w:sz="0" w:space="0" w:color="auto"/>
            <w:left w:val="none" w:sz="0" w:space="0" w:color="auto"/>
            <w:bottom w:val="none" w:sz="0" w:space="0" w:color="auto"/>
            <w:right w:val="none" w:sz="0" w:space="0" w:color="auto"/>
          </w:divBdr>
        </w:div>
        <w:div w:id="1030767028">
          <w:marLeft w:val="0"/>
          <w:marRight w:val="0"/>
          <w:marTop w:val="0"/>
          <w:marBottom w:val="0"/>
          <w:divBdr>
            <w:top w:val="none" w:sz="0" w:space="0" w:color="auto"/>
            <w:left w:val="none" w:sz="0" w:space="0" w:color="auto"/>
            <w:bottom w:val="none" w:sz="0" w:space="0" w:color="auto"/>
            <w:right w:val="none" w:sz="0" w:space="0" w:color="auto"/>
          </w:divBdr>
          <w:divsChild>
            <w:div w:id="168957411">
              <w:marLeft w:val="0"/>
              <w:marRight w:val="0"/>
              <w:marTop w:val="0"/>
              <w:marBottom w:val="0"/>
              <w:divBdr>
                <w:top w:val="none" w:sz="0" w:space="0" w:color="auto"/>
                <w:left w:val="none" w:sz="0" w:space="0" w:color="auto"/>
                <w:bottom w:val="none" w:sz="0" w:space="0" w:color="auto"/>
                <w:right w:val="none" w:sz="0" w:space="0" w:color="auto"/>
              </w:divBdr>
            </w:div>
            <w:div w:id="1027103820">
              <w:marLeft w:val="0"/>
              <w:marRight w:val="0"/>
              <w:marTop w:val="0"/>
              <w:marBottom w:val="0"/>
              <w:divBdr>
                <w:top w:val="none" w:sz="0" w:space="0" w:color="auto"/>
                <w:left w:val="none" w:sz="0" w:space="0" w:color="auto"/>
                <w:bottom w:val="none" w:sz="0" w:space="0" w:color="auto"/>
                <w:right w:val="none" w:sz="0" w:space="0" w:color="auto"/>
              </w:divBdr>
            </w:div>
            <w:div w:id="1720399621">
              <w:marLeft w:val="0"/>
              <w:marRight w:val="0"/>
              <w:marTop w:val="0"/>
              <w:marBottom w:val="0"/>
              <w:divBdr>
                <w:top w:val="none" w:sz="0" w:space="0" w:color="auto"/>
                <w:left w:val="none" w:sz="0" w:space="0" w:color="auto"/>
                <w:bottom w:val="none" w:sz="0" w:space="0" w:color="auto"/>
                <w:right w:val="none" w:sz="0" w:space="0" w:color="auto"/>
              </w:divBdr>
            </w:div>
            <w:div w:id="1525285253">
              <w:marLeft w:val="0"/>
              <w:marRight w:val="0"/>
              <w:marTop w:val="0"/>
              <w:marBottom w:val="0"/>
              <w:divBdr>
                <w:top w:val="none" w:sz="0" w:space="0" w:color="auto"/>
                <w:left w:val="none" w:sz="0" w:space="0" w:color="auto"/>
                <w:bottom w:val="none" w:sz="0" w:space="0" w:color="auto"/>
                <w:right w:val="none" w:sz="0" w:space="0" w:color="auto"/>
              </w:divBdr>
            </w:div>
            <w:div w:id="1742369988">
              <w:marLeft w:val="0"/>
              <w:marRight w:val="0"/>
              <w:marTop w:val="0"/>
              <w:marBottom w:val="0"/>
              <w:divBdr>
                <w:top w:val="none" w:sz="0" w:space="0" w:color="auto"/>
                <w:left w:val="none" w:sz="0" w:space="0" w:color="auto"/>
                <w:bottom w:val="none" w:sz="0" w:space="0" w:color="auto"/>
                <w:right w:val="none" w:sz="0" w:space="0" w:color="auto"/>
              </w:divBdr>
            </w:div>
          </w:divsChild>
        </w:div>
        <w:div w:id="389041063">
          <w:marLeft w:val="0"/>
          <w:marRight w:val="0"/>
          <w:marTop w:val="0"/>
          <w:marBottom w:val="0"/>
          <w:divBdr>
            <w:top w:val="none" w:sz="0" w:space="0" w:color="auto"/>
            <w:left w:val="none" w:sz="0" w:space="0" w:color="auto"/>
            <w:bottom w:val="none" w:sz="0" w:space="0" w:color="auto"/>
            <w:right w:val="none" w:sz="0" w:space="0" w:color="auto"/>
          </w:divBdr>
          <w:divsChild>
            <w:div w:id="193278292">
              <w:marLeft w:val="0"/>
              <w:marRight w:val="0"/>
              <w:marTop w:val="0"/>
              <w:marBottom w:val="0"/>
              <w:divBdr>
                <w:top w:val="none" w:sz="0" w:space="0" w:color="auto"/>
                <w:left w:val="none" w:sz="0" w:space="0" w:color="auto"/>
                <w:bottom w:val="none" w:sz="0" w:space="0" w:color="auto"/>
                <w:right w:val="none" w:sz="0" w:space="0" w:color="auto"/>
              </w:divBdr>
            </w:div>
            <w:div w:id="82189434">
              <w:marLeft w:val="0"/>
              <w:marRight w:val="0"/>
              <w:marTop w:val="0"/>
              <w:marBottom w:val="0"/>
              <w:divBdr>
                <w:top w:val="none" w:sz="0" w:space="0" w:color="auto"/>
                <w:left w:val="none" w:sz="0" w:space="0" w:color="auto"/>
                <w:bottom w:val="none" w:sz="0" w:space="0" w:color="auto"/>
                <w:right w:val="none" w:sz="0" w:space="0" w:color="auto"/>
              </w:divBdr>
            </w:div>
            <w:div w:id="483591857">
              <w:marLeft w:val="0"/>
              <w:marRight w:val="0"/>
              <w:marTop w:val="0"/>
              <w:marBottom w:val="0"/>
              <w:divBdr>
                <w:top w:val="none" w:sz="0" w:space="0" w:color="auto"/>
                <w:left w:val="none" w:sz="0" w:space="0" w:color="auto"/>
                <w:bottom w:val="none" w:sz="0" w:space="0" w:color="auto"/>
                <w:right w:val="none" w:sz="0" w:space="0" w:color="auto"/>
              </w:divBdr>
            </w:div>
            <w:div w:id="132685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E6A40D16E8E84F9E14AB337F366922" ma:contentTypeVersion="9" ma:contentTypeDescription="Create a new document." ma:contentTypeScope="" ma:versionID="7f370718da6935d260a8dc99344f616e">
  <xsd:schema xmlns:xsd="http://www.w3.org/2001/XMLSchema" xmlns:xs="http://www.w3.org/2001/XMLSchema" xmlns:p="http://schemas.microsoft.com/office/2006/metadata/properties" xmlns:ns3="d784828d-9370-4d16-8fec-f7b8acd4f2dd" targetNamespace="http://schemas.microsoft.com/office/2006/metadata/properties" ma:root="true" ma:fieldsID="50922551d956d5662bb5dcadcda15968" ns3:_="">
    <xsd:import namespace="d784828d-9370-4d16-8fec-f7b8acd4f2d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4828d-9370-4d16-8fec-f7b8acd4f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8060B-9860-4FC9-84A3-A8F3118BE4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A520A1-A048-4157-8A0A-DCEA1C465875}">
  <ds:schemaRefs>
    <ds:schemaRef ds:uri="http://schemas.microsoft.com/sharepoint/v3/contenttype/forms"/>
  </ds:schemaRefs>
</ds:datastoreItem>
</file>

<file path=customXml/itemProps3.xml><?xml version="1.0" encoding="utf-8"?>
<ds:datastoreItem xmlns:ds="http://schemas.openxmlformats.org/officeDocument/2006/customXml" ds:itemID="{FB635420-EB30-4AA3-B4D3-6472F2EBB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4828d-9370-4d16-8fec-f7b8acd4f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D29FE7-E52A-4672-81A9-8A8874A23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Vonda Hannaman</dc:creator>
  <cp:keywords/>
  <dc:description/>
  <cp:lastModifiedBy>Brian Landry</cp:lastModifiedBy>
  <cp:revision>2</cp:revision>
  <cp:lastPrinted>2016-12-01T17:29:00Z</cp:lastPrinted>
  <dcterms:created xsi:type="dcterms:W3CDTF">2023-01-06T22:19:00Z</dcterms:created>
  <dcterms:modified xsi:type="dcterms:W3CDTF">2023-01-06T22:19:00Z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0x01010043E6A40D16E8E84F9E14AB337F366922</vt:lpwstr>
  </property>
</Properties>
</file>